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Emanueli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L'impatto dell'afasia sulla qualità della vita: ruolo dei fattori ambientali. Una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