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Aurora Primiceri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sordità minime nei bambini in età scolare: conseguenze percettivo-uditive e ricaduta nelle abilità linguistiche e di apprendimento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