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Matteucci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Depressione post-ictus e afasia: impatto, strategie di valutazione e trattamento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